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9A" w:rsidRPr="00462147" w:rsidRDefault="008F3B9A" w:rsidP="008F3B9A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TÜRK TABİPLERİ BİRLİĞİ ÖZEL HEKİMLİK KOLU </w:t>
      </w:r>
    </w:p>
    <w:p w:rsidR="008F3B9A" w:rsidRPr="00462147" w:rsidRDefault="008F3B9A" w:rsidP="008F3B9A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ÇALIŞMA YÖNERGESİ </w:t>
      </w:r>
    </w:p>
    <w:p w:rsidR="008F3B9A" w:rsidRPr="00462147" w:rsidRDefault="008F3B9A" w:rsidP="008F3B9A">
      <w:pPr>
        <w:spacing w:after="0" w:line="240" w:lineRule="auto"/>
        <w:outlineLvl w:val="4"/>
        <w:rPr>
          <w:rFonts w:eastAsia="Times New Roman" w:cstheme="minorHAnsi"/>
          <w:bCs/>
          <w:sz w:val="24"/>
          <w:szCs w:val="24"/>
          <w:lang w:eastAsia="tr-TR"/>
        </w:rPr>
      </w:pPr>
    </w:p>
    <w:p w:rsidR="008F3B9A" w:rsidRPr="00462147" w:rsidRDefault="008F3B9A" w:rsidP="008F3B9A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>Dayanak</w:t>
      </w:r>
    </w:p>
    <w:p w:rsidR="008F3B9A" w:rsidRPr="00462147" w:rsidRDefault="008F3B9A" w:rsidP="008F3B9A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Madde 1: </w:t>
      </w:r>
      <w:r w:rsidRPr="00462147">
        <w:rPr>
          <w:rFonts w:eastAsia="Times New Roman" w:cstheme="minorHAnsi"/>
          <w:bCs/>
          <w:sz w:val="24"/>
          <w:szCs w:val="24"/>
          <w:lang w:eastAsia="tr-TR"/>
        </w:rPr>
        <w:t>Bu yönerge 6023 sayılı Türk Tabipleri Birliği Kanunu’nun 4, 59.maddeleri ve Türk Tabipleri</w:t>
      </w:r>
      <w:r w:rsidRPr="00462147">
        <w:rPr>
          <w:rFonts w:eastAsia="Times New Roman" w:cstheme="minorHAnsi"/>
          <w:sz w:val="24"/>
          <w:szCs w:val="24"/>
          <w:lang w:eastAsia="tr-TR"/>
        </w:rPr>
        <w:t xml:space="preserve"> Birliği Organları Çalışma </w:t>
      </w:r>
      <w:r w:rsidR="00BA5384" w:rsidRPr="00462147">
        <w:rPr>
          <w:rFonts w:eastAsia="Times New Roman" w:cstheme="minorHAnsi"/>
          <w:sz w:val="24"/>
          <w:szCs w:val="24"/>
          <w:lang w:eastAsia="tr-TR"/>
        </w:rPr>
        <w:t>Yönergesinin</w:t>
      </w:r>
      <w:r w:rsidRPr="00462147">
        <w:rPr>
          <w:rFonts w:eastAsia="Times New Roman" w:cstheme="minorHAnsi"/>
          <w:sz w:val="24"/>
          <w:szCs w:val="24"/>
          <w:lang w:eastAsia="tr-TR"/>
        </w:rPr>
        <w:t xml:space="preserve"> 23. maddesi uyarınca hazırlanmıştır.</w:t>
      </w:r>
    </w:p>
    <w:p w:rsidR="008F3B9A" w:rsidRPr="00462147" w:rsidRDefault="008F3B9A" w:rsidP="008F3B9A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tr-TR"/>
        </w:rPr>
      </w:pPr>
    </w:p>
    <w:p w:rsidR="008F3B9A" w:rsidRPr="00462147" w:rsidRDefault="008F3B9A" w:rsidP="008F3B9A">
      <w:pPr>
        <w:spacing w:after="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sz w:val="24"/>
          <w:szCs w:val="24"/>
          <w:lang w:eastAsia="tr-TR"/>
        </w:rPr>
        <w:t>Amaç</w:t>
      </w:r>
    </w:p>
    <w:p w:rsidR="008F3B9A" w:rsidRPr="00462147" w:rsidRDefault="008F3B9A" w:rsidP="008F3B9A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tr-TR"/>
        </w:rPr>
      </w:pPr>
      <w:proofErr w:type="gramStart"/>
      <w:r w:rsidRPr="00462147">
        <w:rPr>
          <w:rFonts w:eastAsia="Times New Roman" w:cstheme="minorHAnsi"/>
          <w:b/>
          <w:sz w:val="24"/>
          <w:szCs w:val="24"/>
          <w:lang w:eastAsia="tr-TR"/>
        </w:rPr>
        <w:t xml:space="preserve">Madde 2: </w:t>
      </w:r>
      <w:r w:rsidRPr="00462147">
        <w:rPr>
          <w:rFonts w:eastAsia="Times New Roman" w:cstheme="minorHAnsi"/>
          <w:sz w:val="24"/>
          <w:szCs w:val="24"/>
          <w:lang w:eastAsia="tr-TR"/>
        </w:rPr>
        <w:t xml:space="preserve">Bu yönerge Türk Tabipleri Birliği’nin özel sağlık hizmeti alanındaki bakış açısını oluşturmak, geliştirmek; </w:t>
      </w:r>
      <w:r w:rsidR="0044687E" w:rsidRPr="00462147">
        <w:rPr>
          <w:rFonts w:eastAsia="Times New Roman" w:cstheme="minorHAnsi"/>
          <w:sz w:val="24"/>
          <w:szCs w:val="24"/>
          <w:lang w:eastAsia="tr-TR"/>
        </w:rPr>
        <w:t xml:space="preserve">özel sağlık alanında çalışan hekimlerin sosyal, ekonomik ve özlük haklarını korumak ve geliştirmek, </w:t>
      </w:r>
      <w:r w:rsidRPr="00462147">
        <w:rPr>
          <w:rFonts w:eastAsia="Times New Roman" w:cstheme="minorHAnsi"/>
          <w:sz w:val="24"/>
          <w:szCs w:val="24"/>
          <w:lang w:eastAsia="tr-TR"/>
        </w:rPr>
        <w:t>bu bağlamda yapılacaklarla ilgili önerilerde bulun</w:t>
      </w:r>
      <w:r w:rsidR="0044687E" w:rsidRPr="00462147">
        <w:rPr>
          <w:rFonts w:eastAsia="Times New Roman" w:cstheme="minorHAnsi"/>
          <w:sz w:val="24"/>
          <w:szCs w:val="24"/>
          <w:lang w:eastAsia="tr-TR"/>
        </w:rPr>
        <w:t xml:space="preserve">arak </w:t>
      </w:r>
      <w:r w:rsidRPr="00462147">
        <w:rPr>
          <w:rFonts w:eastAsia="Times New Roman" w:cstheme="minorHAnsi"/>
          <w:sz w:val="24"/>
          <w:szCs w:val="24"/>
          <w:lang w:eastAsia="tr-TR"/>
        </w:rPr>
        <w:t>çalışmalar yapmak amacıyla Türk Tabipleri Birliği Özel Hekimlik Kolu faaliyetlerinin çalışma esaslarını, ilke ve yöntemlerini belirler.</w:t>
      </w:r>
      <w:proofErr w:type="gramEnd"/>
    </w:p>
    <w:p w:rsidR="008F3B9A" w:rsidRPr="00462147" w:rsidRDefault="008F3B9A" w:rsidP="008F3B9A">
      <w:pPr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tr-TR"/>
        </w:rPr>
      </w:pPr>
    </w:p>
    <w:p w:rsidR="008F3B9A" w:rsidRPr="00462147" w:rsidRDefault="008F3B9A" w:rsidP="008F3B9A">
      <w:pPr>
        <w:spacing w:after="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sz w:val="24"/>
          <w:szCs w:val="24"/>
          <w:lang w:eastAsia="tr-TR"/>
        </w:rPr>
        <w:t>Tanımlar</w:t>
      </w:r>
    </w:p>
    <w:p w:rsidR="008F3B9A" w:rsidRPr="00462147" w:rsidRDefault="008F3B9A" w:rsidP="008F3B9A">
      <w:pPr>
        <w:spacing w:after="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sz w:val="24"/>
          <w:szCs w:val="24"/>
          <w:lang w:eastAsia="tr-TR"/>
        </w:rPr>
        <w:t xml:space="preserve">Madde 3: </w:t>
      </w:r>
      <w:r w:rsidRPr="00462147">
        <w:rPr>
          <w:rFonts w:eastAsia="Times New Roman" w:cstheme="minorHAnsi"/>
          <w:sz w:val="24"/>
          <w:szCs w:val="24"/>
          <w:lang w:eastAsia="tr-TR"/>
        </w:rPr>
        <w:t>Bu yönergede geçen;</w:t>
      </w:r>
    </w:p>
    <w:p w:rsidR="008F3B9A" w:rsidRPr="00462147" w:rsidRDefault="008F3B9A" w:rsidP="008F3B9A">
      <w:pPr>
        <w:pStyle w:val="ListeParagraf"/>
        <w:numPr>
          <w:ilvl w:val="0"/>
          <w:numId w:val="3"/>
        </w:numPr>
        <w:spacing w:after="0" w:line="240" w:lineRule="auto"/>
        <w:outlineLvl w:val="3"/>
        <w:rPr>
          <w:rFonts w:eastAsia="Times New Roman" w:cstheme="minorHAnsi"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sz w:val="24"/>
          <w:szCs w:val="24"/>
          <w:lang w:eastAsia="tr-TR"/>
        </w:rPr>
        <w:t>“TTB” Türk Tabipleri Birliği’ni</w:t>
      </w:r>
      <w:r w:rsidR="0044687E" w:rsidRPr="00462147">
        <w:rPr>
          <w:rFonts w:eastAsia="Times New Roman" w:cstheme="minorHAnsi"/>
          <w:sz w:val="24"/>
          <w:szCs w:val="24"/>
          <w:lang w:eastAsia="tr-TR"/>
        </w:rPr>
        <w:t>,</w:t>
      </w:r>
    </w:p>
    <w:p w:rsidR="0044687E" w:rsidRPr="00462147" w:rsidRDefault="0044687E" w:rsidP="0044687E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sz w:val="24"/>
          <w:szCs w:val="24"/>
          <w:lang w:eastAsia="tr-TR"/>
        </w:rPr>
        <w:t>“Konsey” TTB Merkez Konseyi’ni,</w:t>
      </w:r>
    </w:p>
    <w:p w:rsidR="008F3B9A" w:rsidRPr="00462147" w:rsidRDefault="008F3B9A" w:rsidP="0044687E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sz w:val="24"/>
          <w:szCs w:val="24"/>
          <w:lang w:eastAsia="tr-TR"/>
        </w:rPr>
        <w:t>“ÖHK” Özel Hekimlik Kolunu</w:t>
      </w:r>
      <w:r w:rsidR="0044687E" w:rsidRPr="00462147">
        <w:rPr>
          <w:rFonts w:eastAsia="Times New Roman" w:cstheme="minorHAnsi"/>
          <w:sz w:val="24"/>
          <w:szCs w:val="24"/>
          <w:lang w:eastAsia="tr-TR"/>
        </w:rPr>
        <w:t>,</w:t>
      </w:r>
    </w:p>
    <w:p w:rsidR="008F3B9A" w:rsidRPr="00462147" w:rsidRDefault="008F3B9A" w:rsidP="008F3B9A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sz w:val="24"/>
          <w:szCs w:val="24"/>
          <w:lang w:eastAsia="tr-TR"/>
        </w:rPr>
        <w:t>“</w:t>
      </w:r>
      <w:r w:rsidR="0044687E" w:rsidRPr="00462147">
        <w:rPr>
          <w:rFonts w:eastAsia="Times New Roman" w:cstheme="minorHAnsi"/>
          <w:sz w:val="24"/>
          <w:szCs w:val="24"/>
          <w:lang w:eastAsia="tr-TR"/>
        </w:rPr>
        <w:t xml:space="preserve">Kol Yürütme Kurulu” kolun sevk ve idaresini üstlenen, etkinliklerini planlayan ve Konseye karşı sorumlu olan kurulu, </w:t>
      </w:r>
    </w:p>
    <w:p w:rsidR="008F3B9A" w:rsidRPr="00462147" w:rsidRDefault="008F3B9A" w:rsidP="008F3B9A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sz w:val="24"/>
          <w:szCs w:val="24"/>
          <w:lang w:eastAsia="tr-TR"/>
        </w:rPr>
        <w:t>“Odalar” Tabip Odaları’nı</w:t>
      </w:r>
      <w:r w:rsidR="0044687E" w:rsidRPr="00462147">
        <w:rPr>
          <w:rFonts w:eastAsia="Times New Roman" w:cstheme="minorHAnsi"/>
          <w:sz w:val="24"/>
          <w:szCs w:val="24"/>
          <w:lang w:eastAsia="tr-TR"/>
        </w:rPr>
        <w:t>,</w:t>
      </w:r>
    </w:p>
    <w:p w:rsidR="008F3B9A" w:rsidRPr="00462147" w:rsidRDefault="008F3B9A" w:rsidP="008F3B9A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sz w:val="24"/>
          <w:szCs w:val="24"/>
          <w:lang w:eastAsia="tr-TR"/>
        </w:rPr>
        <w:t xml:space="preserve">“Komisyon” Tabip Odalarında yapılanmış özel hekimlik </w:t>
      </w:r>
      <w:r w:rsidR="001D5CB2" w:rsidRPr="00462147">
        <w:rPr>
          <w:rFonts w:eastAsia="Times New Roman" w:cstheme="minorHAnsi"/>
          <w:sz w:val="24"/>
          <w:szCs w:val="24"/>
          <w:lang w:eastAsia="tr-TR"/>
        </w:rPr>
        <w:t>komisyonlarını, ifade</w:t>
      </w:r>
      <w:r w:rsidRPr="00462147">
        <w:rPr>
          <w:rFonts w:eastAsia="Times New Roman" w:cstheme="minorHAnsi"/>
          <w:sz w:val="24"/>
          <w:szCs w:val="24"/>
          <w:lang w:eastAsia="tr-TR"/>
        </w:rPr>
        <w:t xml:space="preserve"> eder.</w:t>
      </w:r>
    </w:p>
    <w:p w:rsidR="008F3B9A" w:rsidRPr="00462147" w:rsidRDefault="008F3B9A" w:rsidP="008F3B9A">
      <w:pPr>
        <w:spacing w:after="0" w:line="240" w:lineRule="auto"/>
        <w:outlineLvl w:val="4"/>
        <w:rPr>
          <w:rFonts w:eastAsia="Times New Roman" w:cstheme="minorHAnsi"/>
          <w:bCs/>
          <w:sz w:val="24"/>
          <w:szCs w:val="24"/>
          <w:lang w:eastAsia="tr-TR"/>
        </w:rPr>
      </w:pPr>
    </w:p>
    <w:p w:rsidR="008F3B9A" w:rsidRPr="00462147" w:rsidRDefault="00256A68" w:rsidP="008F3B9A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>Madde 4:</w:t>
      </w:r>
      <w:r w:rsidR="00BA5384" w:rsidRPr="00462147">
        <w:rPr>
          <w:rFonts w:eastAsia="Times New Roman" w:cstheme="minorHAnsi"/>
          <w:b/>
          <w:bCs/>
          <w:sz w:val="24"/>
          <w:szCs w:val="24"/>
          <w:lang w:eastAsia="tr-TR"/>
        </w:rPr>
        <w:t>Çalışma</w:t>
      </w:r>
      <w:r w:rsidR="008F3B9A"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Alanları</w:t>
      </w:r>
    </w:p>
    <w:p w:rsidR="00256A68" w:rsidRPr="00462147" w:rsidRDefault="00256A68" w:rsidP="00256A68">
      <w:pPr>
        <w:tabs>
          <w:tab w:val="left" w:pos="397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256A68" w:rsidRPr="00462147" w:rsidRDefault="001D5CB2" w:rsidP="00256A68">
      <w:pPr>
        <w:pStyle w:val="ListeParagraf"/>
        <w:numPr>
          <w:ilvl w:val="0"/>
          <w:numId w:val="7"/>
        </w:numPr>
        <w:tabs>
          <w:tab w:val="left" w:pos="3975"/>
        </w:tabs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sz w:val="24"/>
          <w:szCs w:val="24"/>
          <w:lang w:eastAsia="tr-TR"/>
        </w:rPr>
        <w:t>İyi hekimlik</w:t>
      </w:r>
      <w:r w:rsidR="00256A68" w:rsidRPr="00462147">
        <w:rPr>
          <w:rFonts w:eastAsia="Times New Roman" w:cstheme="minorHAnsi"/>
          <w:sz w:val="24"/>
          <w:szCs w:val="24"/>
          <w:lang w:eastAsia="tr-TR"/>
        </w:rPr>
        <w:t xml:space="preserve"> ortamı için mücadele vermek.</w:t>
      </w:r>
    </w:p>
    <w:p w:rsidR="00EA22F3" w:rsidRPr="00462147" w:rsidRDefault="00256A68" w:rsidP="00256A68">
      <w:pPr>
        <w:pStyle w:val="ListeParagraf"/>
        <w:numPr>
          <w:ilvl w:val="0"/>
          <w:numId w:val="7"/>
        </w:numPr>
        <w:tabs>
          <w:tab w:val="left" w:pos="3975"/>
        </w:tabs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sz w:val="24"/>
          <w:szCs w:val="24"/>
          <w:lang w:eastAsia="tr-TR"/>
        </w:rPr>
        <w:t xml:space="preserve">Hekimlerin müstakil çalışma haklarını (muayenehane,  </w:t>
      </w:r>
      <w:r w:rsidR="001D5CB2" w:rsidRPr="00462147">
        <w:rPr>
          <w:rFonts w:eastAsia="Times New Roman" w:cstheme="minorHAnsi"/>
          <w:sz w:val="24"/>
          <w:szCs w:val="24"/>
          <w:lang w:eastAsia="tr-TR"/>
        </w:rPr>
        <w:t>tıbbi laboratuarlar</w:t>
      </w:r>
      <w:r w:rsidRPr="00462147">
        <w:rPr>
          <w:rFonts w:eastAsia="Times New Roman" w:cstheme="minorHAnsi"/>
          <w:sz w:val="24"/>
          <w:szCs w:val="24"/>
          <w:lang w:eastAsia="tr-TR"/>
        </w:rPr>
        <w:t>,</w:t>
      </w:r>
      <w:r w:rsidR="001D5CB2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462147">
        <w:rPr>
          <w:rFonts w:eastAsia="Times New Roman" w:cstheme="minorHAnsi"/>
          <w:sz w:val="24"/>
          <w:szCs w:val="24"/>
          <w:lang w:eastAsia="tr-TR"/>
        </w:rPr>
        <w:t xml:space="preserve">görüntüleme </w:t>
      </w:r>
      <w:r w:rsidR="001D5CB2" w:rsidRPr="00462147">
        <w:rPr>
          <w:rFonts w:eastAsia="Times New Roman" w:cstheme="minorHAnsi"/>
          <w:sz w:val="24"/>
          <w:szCs w:val="24"/>
          <w:lang w:eastAsia="tr-TR"/>
        </w:rPr>
        <w:t>merkezleri vs</w:t>
      </w:r>
      <w:r w:rsidRPr="00462147">
        <w:rPr>
          <w:rFonts w:eastAsia="Times New Roman" w:cstheme="minorHAnsi"/>
          <w:sz w:val="24"/>
          <w:szCs w:val="24"/>
          <w:lang w:eastAsia="tr-TR"/>
        </w:rPr>
        <w:t>) savunmak.</w:t>
      </w:r>
    </w:p>
    <w:p w:rsidR="00256A68" w:rsidRPr="00462147" w:rsidRDefault="00256A68" w:rsidP="00256A68">
      <w:pPr>
        <w:pStyle w:val="ListeParagraf"/>
        <w:numPr>
          <w:ilvl w:val="0"/>
          <w:numId w:val="7"/>
        </w:numPr>
        <w:tabs>
          <w:tab w:val="left" w:pos="3975"/>
        </w:tabs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462147">
        <w:rPr>
          <w:rFonts w:eastAsia="Times New Roman" w:cstheme="minorHAnsi"/>
          <w:sz w:val="24"/>
          <w:szCs w:val="24"/>
          <w:lang w:eastAsia="tr-TR"/>
        </w:rPr>
        <w:t>Özel sağlık kuruluşlarında çalışan hekimlerin mesleki, ekonomik,  özlük ve demokratik haklarını savunmak.</w:t>
      </w:r>
      <w:proofErr w:type="gramEnd"/>
    </w:p>
    <w:p w:rsidR="00BA5384" w:rsidRPr="00462147" w:rsidRDefault="00BA5384" w:rsidP="008F3B9A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8F3B9A" w:rsidRPr="00462147" w:rsidRDefault="00EA22F3" w:rsidP="008F3B9A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sz w:val="24"/>
          <w:szCs w:val="24"/>
          <w:lang w:eastAsia="tr-TR"/>
        </w:rPr>
        <w:t>İşleyiş</w:t>
      </w:r>
    </w:p>
    <w:p w:rsidR="008F3B9A" w:rsidRPr="00462147" w:rsidRDefault="008F3B9A" w:rsidP="008F3B9A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>Madde</w:t>
      </w:r>
      <w:r w:rsidR="00EA22F3"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>5</w:t>
      </w:r>
      <w:r w:rsidR="00EA22F3" w:rsidRPr="00462147">
        <w:rPr>
          <w:rFonts w:eastAsia="Times New Roman" w:cstheme="minorHAnsi"/>
          <w:b/>
          <w:bCs/>
          <w:sz w:val="24"/>
          <w:szCs w:val="24"/>
          <w:lang w:eastAsia="tr-TR"/>
        </w:rPr>
        <w:t>:</w:t>
      </w:r>
      <w:r w:rsidR="0044687E"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44687E"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ÖHK </w:t>
      </w:r>
      <w:r w:rsidR="00EA22F3"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tabip </w:t>
      </w:r>
      <w:r w:rsidRPr="00462147">
        <w:rPr>
          <w:rFonts w:eastAsia="Times New Roman" w:cstheme="minorHAnsi"/>
          <w:bCs/>
          <w:sz w:val="24"/>
          <w:szCs w:val="24"/>
          <w:lang w:eastAsia="tr-TR"/>
        </w:rPr>
        <w:t>oda</w:t>
      </w:r>
      <w:r w:rsidR="00EA22F3" w:rsidRPr="00462147">
        <w:rPr>
          <w:rFonts w:eastAsia="Times New Roman" w:cstheme="minorHAnsi"/>
          <w:bCs/>
          <w:sz w:val="24"/>
          <w:szCs w:val="24"/>
          <w:lang w:eastAsia="tr-TR"/>
        </w:rPr>
        <w:t>sı</w:t>
      </w:r>
      <w:r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 komisyonları</w:t>
      </w:r>
      <w:r w:rsidR="00EA22F3" w:rsidRPr="00462147">
        <w:rPr>
          <w:rFonts w:eastAsia="Times New Roman" w:cstheme="minorHAnsi"/>
          <w:bCs/>
          <w:sz w:val="24"/>
          <w:szCs w:val="24"/>
          <w:lang w:eastAsia="tr-TR"/>
        </w:rPr>
        <w:t>nın</w:t>
      </w:r>
      <w:r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 gönüllü üyeler</w:t>
      </w:r>
      <w:r w:rsidR="00EA22F3" w:rsidRPr="00462147">
        <w:rPr>
          <w:rFonts w:eastAsia="Times New Roman" w:cstheme="minorHAnsi"/>
          <w:bCs/>
          <w:sz w:val="24"/>
          <w:szCs w:val="24"/>
          <w:lang w:eastAsia="tr-TR"/>
        </w:rPr>
        <w:t>in</w:t>
      </w:r>
      <w:r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den oluşur. </w:t>
      </w:r>
      <w:r w:rsidR="00BA5384"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Gerektiğinde alt çalışma komisyonları oluşturabilir, kişilerden görüş alabilir. </w:t>
      </w:r>
    </w:p>
    <w:p w:rsidR="00EA22F3" w:rsidRPr="00462147" w:rsidRDefault="00EA22F3" w:rsidP="008F3B9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tr-TR"/>
        </w:rPr>
      </w:pPr>
    </w:p>
    <w:p w:rsidR="008F3B9A" w:rsidRPr="00462147" w:rsidRDefault="008F3B9A" w:rsidP="008F3B9A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>Madde</w:t>
      </w:r>
      <w:r w:rsidR="00EA22F3"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>6</w:t>
      </w:r>
      <w:r w:rsidR="00EA22F3" w:rsidRPr="00462147">
        <w:rPr>
          <w:rFonts w:eastAsia="Times New Roman" w:cstheme="minorHAnsi"/>
          <w:b/>
          <w:bCs/>
          <w:sz w:val="24"/>
          <w:szCs w:val="24"/>
          <w:lang w:eastAsia="tr-TR"/>
        </w:rPr>
        <w:t>:</w:t>
      </w:r>
      <w:r w:rsidR="00EA22F3"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BA5384"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ÖHK iç işleyişinde özerk, ancak TTB Merkez Konseyi’ne karşı sorumludur. </w:t>
      </w:r>
      <w:r w:rsidR="0044687E"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ÖHK </w:t>
      </w:r>
      <w:r w:rsidRPr="00462147">
        <w:rPr>
          <w:rFonts w:eastAsia="Times New Roman" w:cstheme="minorHAnsi"/>
          <w:bCs/>
          <w:sz w:val="24"/>
          <w:szCs w:val="24"/>
          <w:lang w:eastAsia="tr-TR"/>
        </w:rPr>
        <w:t>T</w:t>
      </w:r>
      <w:r w:rsidR="00EA22F3" w:rsidRPr="00462147">
        <w:rPr>
          <w:rFonts w:eastAsia="Times New Roman" w:cstheme="minorHAnsi"/>
          <w:bCs/>
          <w:sz w:val="24"/>
          <w:szCs w:val="24"/>
          <w:lang w:eastAsia="tr-TR"/>
        </w:rPr>
        <w:t>TB Organları Çalışma Yönergesi</w:t>
      </w:r>
      <w:r w:rsidRPr="00462147">
        <w:rPr>
          <w:rFonts w:eastAsia="Times New Roman" w:cstheme="minorHAnsi"/>
          <w:bCs/>
          <w:sz w:val="24"/>
          <w:szCs w:val="24"/>
          <w:lang w:eastAsia="tr-TR"/>
        </w:rPr>
        <w:t>nde belirtilen ilgili maddeler doğrultusunda faaliyet gösterir.</w:t>
      </w:r>
    </w:p>
    <w:p w:rsidR="00EA22F3" w:rsidRPr="00462147" w:rsidRDefault="00EA22F3" w:rsidP="008F3B9A">
      <w:pPr>
        <w:spacing w:after="0" w:line="240" w:lineRule="auto"/>
        <w:outlineLvl w:val="5"/>
        <w:rPr>
          <w:rFonts w:eastAsia="Times New Roman" w:cstheme="minorHAnsi"/>
          <w:bCs/>
          <w:iCs/>
          <w:sz w:val="24"/>
          <w:szCs w:val="24"/>
          <w:lang w:eastAsia="tr-TR"/>
        </w:rPr>
      </w:pPr>
    </w:p>
    <w:p w:rsidR="00BA69F0" w:rsidRPr="00462147" w:rsidRDefault="00BA69F0" w:rsidP="008F3B9A">
      <w:pPr>
        <w:spacing w:after="0" w:line="240" w:lineRule="auto"/>
        <w:outlineLvl w:val="5"/>
        <w:rPr>
          <w:rFonts w:eastAsia="Times New Roman" w:cstheme="minorHAnsi"/>
          <w:bCs/>
          <w:i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iCs/>
          <w:sz w:val="24"/>
          <w:szCs w:val="24"/>
          <w:lang w:eastAsia="tr-TR"/>
        </w:rPr>
        <w:t>Madde 7:</w:t>
      </w:r>
      <w:r w:rsidRPr="00462147">
        <w:rPr>
          <w:rFonts w:eastAsia="Times New Roman" w:cstheme="minorHAnsi"/>
          <w:bCs/>
          <w:iCs/>
          <w:sz w:val="24"/>
          <w:szCs w:val="24"/>
          <w:lang w:eastAsia="tr-TR"/>
        </w:rPr>
        <w:t xml:space="preserve"> Kol yılda en az bir kere Eylül ayında toplanır ve yürütme kurulunu oluşturur. Yürütme kurulu kol başkanı, başkan yardımcısı ve genel sekreter</w:t>
      </w:r>
      <w:r w:rsidR="0044687E" w:rsidRPr="00462147">
        <w:rPr>
          <w:rFonts w:eastAsia="Times New Roman" w:cstheme="minorHAnsi"/>
          <w:bCs/>
          <w:iCs/>
          <w:sz w:val="24"/>
          <w:szCs w:val="24"/>
          <w:lang w:eastAsia="tr-TR"/>
        </w:rPr>
        <w:t>den</w:t>
      </w:r>
      <w:r w:rsidRPr="00462147">
        <w:rPr>
          <w:rFonts w:eastAsia="Times New Roman" w:cstheme="minorHAnsi"/>
          <w:bCs/>
          <w:iCs/>
          <w:sz w:val="24"/>
          <w:szCs w:val="24"/>
          <w:lang w:eastAsia="tr-TR"/>
        </w:rPr>
        <w:t xml:space="preserve"> oluşur</w:t>
      </w:r>
      <w:r w:rsidR="00D32AA7" w:rsidRPr="00462147">
        <w:rPr>
          <w:rFonts w:eastAsia="Times New Roman" w:cstheme="minorHAnsi"/>
          <w:bCs/>
          <w:iCs/>
          <w:sz w:val="24"/>
          <w:szCs w:val="24"/>
          <w:lang w:eastAsia="tr-TR"/>
        </w:rPr>
        <w:t xml:space="preserve">. Üyelerden ikisinin görevden ayrılması durumunda kol olağanüstü olarak toplanır ve yeni yürütme kurulunu o yılın </w:t>
      </w:r>
      <w:r w:rsidR="0044687E" w:rsidRPr="00462147">
        <w:rPr>
          <w:rFonts w:eastAsia="Times New Roman" w:cstheme="minorHAnsi"/>
          <w:bCs/>
          <w:iCs/>
          <w:sz w:val="24"/>
          <w:szCs w:val="24"/>
          <w:lang w:eastAsia="tr-TR"/>
        </w:rPr>
        <w:t>E</w:t>
      </w:r>
      <w:r w:rsidR="00D32AA7" w:rsidRPr="00462147">
        <w:rPr>
          <w:rFonts w:eastAsia="Times New Roman" w:cstheme="minorHAnsi"/>
          <w:bCs/>
          <w:iCs/>
          <w:sz w:val="24"/>
          <w:szCs w:val="24"/>
          <w:lang w:eastAsia="tr-TR"/>
        </w:rPr>
        <w:t>ylül ayına kadar olan süre için belirler.</w:t>
      </w:r>
    </w:p>
    <w:p w:rsidR="00BA69F0" w:rsidRPr="00462147" w:rsidRDefault="00BA69F0" w:rsidP="008F3B9A">
      <w:pPr>
        <w:spacing w:after="0" w:line="240" w:lineRule="auto"/>
        <w:outlineLvl w:val="5"/>
        <w:rPr>
          <w:rFonts w:eastAsia="Times New Roman" w:cstheme="minorHAnsi"/>
          <w:bCs/>
          <w:iCs/>
          <w:sz w:val="24"/>
          <w:szCs w:val="24"/>
          <w:lang w:eastAsia="tr-TR"/>
        </w:rPr>
      </w:pPr>
    </w:p>
    <w:p w:rsidR="008F3B9A" w:rsidRPr="00462147" w:rsidRDefault="00EA22F3" w:rsidP="008F3B9A">
      <w:pPr>
        <w:spacing w:after="0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iCs/>
          <w:sz w:val="24"/>
          <w:szCs w:val="24"/>
          <w:lang w:eastAsia="tr-TR"/>
        </w:rPr>
        <w:t>Yürürlük</w:t>
      </w:r>
      <w:bookmarkStart w:id="0" w:name="_GoBack"/>
      <w:bookmarkEnd w:id="0"/>
    </w:p>
    <w:p w:rsidR="008F3B9A" w:rsidRPr="00462147" w:rsidRDefault="008F3B9A" w:rsidP="008F3B9A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>Madde</w:t>
      </w:r>
      <w:r w:rsidR="00EA22F3"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9E0B71" w:rsidRPr="00462147">
        <w:rPr>
          <w:rFonts w:eastAsia="Times New Roman" w:cstheme="minorHAnsi"/>
          <w:b/>
          <w:bCs/>
          <w:sz w:val="24"/>
          <w:szCs w:val="24"/>
          <w:lang w:eastAsia="tr-TR"/>
        </w:rPr>
        <w:t>8</w:t>
      </w:r>
      <w:r w:rsidR="00EA22F3"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: </w:t>
      </w:r>
      <w:r w:rsidRPr="00462147">
        <w:rPr>
          <w:rFonts w:eastAsia="Times New Roman" w:cstheme="minorHAnsi"/>
          <w:bCs/>
          <w:sz w:val="24"/>
          <w:szCs w:val="24"/>
          <w:lang w:eastAsia="tr-TR"/>
        </w:rPr>
        <w:t xml:space="preserve">Bu Yönerge Türk Tabipleri Birliği Merkez Konseyi tarafından onaylandıktan sonra yürürlüğe </w:t>
      </w:r>
      <w:proofErr w:type="gramStart"/>
      <w:r w:rsidRPr="00462147">
        <w:rPr>
          <w:rFonts w:eastAsia="Times New Roman" w:cstheme="minorHAnsi"/>
          <w:sz w:val="24"/>
          <w:szCs w:val="24"/>
          <w:lang w:eastAsia="tr-TR"/>
        </w:rPr>
        <w:t xml:space="preserve">girer </w:t>
      </w:r>
      <w:r w:rsidR="00256A68" w:rsidRPr="00462147">
        <w:rPr>
          <w:rFonts w:eastAsia="Times New Roman" w:cstheme="minorHAnsi"/>
          <w:sz w:val="24"/>
          <w:szCs w:val="24"/>
          <w:lang w:eastAsia="tr-TR"/>
        </w:rPr>
        <w:t>.</w:t>
      </w:r>
      <w:proofErr w:type="gramEnd"/>
      <w:r w:rsidRPr="00462147">
        <w:rPr>
          <w:rFonts w:eastAsia="Times New Roman" w:cstheme="minorHAnsi"/>
          <w:sz w:val="24"/>
          <w:szCs w:val="24"/>
          <w:lang w:eastAsia="tr-TR"/>
        </w:rPr>
        <w:tab/>
      </w:r>
    </w:p>
    <w:p w:rsidR="00EA22F3" w:rsidRPr="00462147" w:rsidRDefault="00EA22F3" w:rsidP="008F3B9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BA69F0" w:rsidRPr="00462147" w:rsidRDefault="00BA69F0" w:rsidP="008F3B9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>Yürütme</w:t>
      </w:r>
    </w:p>
    <w:p w:rsidR="00BA69F0" w:rsidRPr="00462147" w:rsidRDefault="00BA69F0" w:rsidP="008F3B9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tr-TR"/>
        </w:rPr>
      </w:pP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Madde </w:t>
      </w:r>
      <w:r w:rsidR="009E0B71" w:rsidRPr="00462147">
        <w:rPr>
          <w:rFonts w:eastAsia="Times New Roman" w:cstheme="minorHAnsi"/>
          <w:b/>
          <w:bCs/>
          <w:sz w:val="24"/>
          <w:szCs w:val="24"/>
          <w:lang w:eastAsia="tr-TR"/>
        </w:rPr>
        <w:t>9</w:t>
      </w:r>
      <w:r w:rsidRPr="00462147">
        <w:rPr>
          <w:rFonts w:eastAsia="Times New Roman" w:cstheme="minorHAnsi"/>
          <w:b/>
          <w:bCs/>
          <w:sz w:val="24"/>
          <w:szCs w:val="24"/>
          <w:lang w:eastAsia="tr-TR"/>
        </w:rPr>
        <w:t xml:space="preserve">: </w:t>
      </w:r>
      <w:r w:rsidRPr="00462147">
        <w:rPr>
          <w:rFonts w:eastAsia="Times New Roman" w:cstheme="minorHAnsi"/>
          <w:bCs/>
          <w:sz w:val="24"/>
          <w:szCs w:val="24"/>
          <w:lang w:eastAsia="tr-TR"/>
        </w:rPr>
        <w:t>Bu yönergeyi TTB Özel Hekimlik Kolu yürütmesi yürütür.</w:t>
      </w:r>
    </w:p>
    <w:sectPr w:rsidR="00BA69F0" w:rsidRPr="00462147" w:rsidSect="0002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A82"/>
    <w:multiLevelType w:val="hybridMultilevel"/>
    <w:tmpl w:val="13D4FA5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0A16"/>
    <w:multiLevelType w:val="hybridMultilevel"/>
    <w:tmpl w:val="2926EC4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587D"/>
    <w:multiLevelType w:val="hybridMultilevel"/>
    <w:tmpl w:val="B664B6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1263"/>
    <w:multiLevelType w:val="hybridMultilevel"/>
    <w:tmpl w:val="129C4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C5688"/>
    <w:multiLevelType w:val="hybridMultilevel"/>
    <w:tmpl w:val="E3586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C42EA"/>
    <w:multiLevelType w:val="hybridMultilevel"/>
    <w:tmpl w:val="ABAC5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0294F"/>
    <w:multiLevelType w:val="hybridMultilevel"/>
    <w:tmpl w:val="E9EC9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2E3"/>
    <w:rsid w:val="000225F6"/>
    <w:rsid w:val="000732EA"/>
    <w:rsid w:val="0016335B"/>
    <w:rsid w:val="00163FB9"/>
    <w:rsid w:val="001D5CB2"/>
    <w:rsid w:val="001F5162"/>
    <w:rsid w:val="002322E3"/>
    <w:rsid w:val="00256A68"/>
    <w:rsid w:val="0044687E"/>
    <w:rsid w:val="00462147"/>
    <w:rsid w:val="004A385D"/>
    <w:rsid w:val="00544A61"/>
    <w:rsid w:val="006879F0"/>
    <w:rsid w:val="006E0BD1"/>
    <w:rsid w:val="008F3B9A"/>
    <w:rsid w:val="009E0B71"/>
    <w:rsid w:val="00BA5384"/>
    <w:rsid w:val="00BA69F0"/>
    <w:rsid w:val="00CA60EE"/>
    <w:rsid w:val="00D07616"/>
    <w:rsid w:val="00D32AA7"/>
    <w:rsid w:val="00EA22F3"/>
    <w:rsid w:val="00EC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3B9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3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hh</cp:lastModifiedBy>
  <cp:revision>9</cp:revision>
  <cp:lastPrinted>2012-02-05T12:28:00Z</cp:lastPrinted>
  <dcterms:created xsi:type="dcterms:W3CDTF">2012-01-19T08:32:00Z</dcterms:created>
  <dcterms:modified xsi:type="dcterms:W3CDTF">2012-02-07T08:32:00Z</dcterms:modified>
</cp:coreProperties>
</file>